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42A91" w14:textId="77777777" w:rsidR="00ED3431" w:rsidRDefault="00285F9E">
      <w:pPr>
        <w:jc w:val="center"/>
        <w:rPr>
          <w:b/>
          <w:bCs/>
          <w:u w:val="single"/>
        </w:rPr>
      </w:pPr>
      <w:r>
        <w:rPr>
          <w:b/>
          <w:bCs/>
          <w:u w:val="single"/>
        </w:rPr>
        <w:t>New Stayer and Wage Growth Variable Descriptions</w:t>
      </w:r>
    </w:p>
    <w:p w14:paraId="44F1F96E" w14:textId="77777777" w:rsidR="00ED3431" w:rsidRDefault="00ED3431">
      <w:pPr>
        <w:jc w:val="center"/>
      </w:pPr>
    </w:p>
    <w:p w14:paraId="11FADB70" w14:textId="77777777" w:rsidR="00ED3431" w:rsidRDefault="00ED3431"/>
    <w:p w14:paraId="5FC10F6F" w14:textId="77777777" w:rsidR="00ED3431" w:rsidRDefault="00285F9E">
      <w:pPr>
        <w:rPr>
          <w:b/>
          <w:bCs/>
          <w:u w:val="single"/>
        </w:rPr>
      </w:pPr>
      <w:r>
        <w:rPr>
          <w:b/>
          <w:bCs/>
        </w:rPr>
        <w:t>new_stayer_vars.csv:</w:t>
      </w:r>
      <w:r>
        <w:t xml:space="preserve"> This dataset contains several new pulls from the databank. Included are the stayer counts; male stayer counts and mean wages; female stayer counts and mean wages; inventor stayer counts and mean wages; and non-inventor stayer counts and mean wages. The va</w:t>
      </w:r>
      <w:r>
        <w:t>riables as they appear in the data set are:</w:t>
      </w:r>
    </w:p>
    <w:p w14:paraId="0C79F490" w14:textId="77777777" w:rsidR="00ED3431" w:rsidRDefault="00ED3431"/>
    <w:p w14:paraId="3DA7E69E" w14:textId="77777777" w:rsidR="00ED3431" w:rsidRDefault="00285F9E">
      <w:pPr>
        <w:numPr>
          <w:ilvl w:val="0"/>
          <w:numId w:val="1"/>
        </w:numPr>
        <w:rPr>
          <w:b/>
          <w:bCs/>
          <w:u w:val="single"/>
        </w:rPr>
      </w:pPr>
      <w:r>
        <w:t>payer_tin_w2_max</w:t>
      </w:r>
    </w:p>
    <w:p w14:paraId="6D471EFA" w14:textId="77777777" w:rsidR="00ED3431" w:rsidRDefault="00285F9E">
      <w:pPr>
        <w:numPr>
          <w:ilvl w:val="1"/>
          <w:numId w:val="1"/>
        </w:numPr>
        <w:rPr>
          <w:b/>
          <w:bCs/>
          <w:u w:val="single"/>
        </w:rPr>
      </w:pPr>
      <w:r>
        <w:t>This is the TIN of the firm associated with the observation.</w:t>
      </w:r>
    </w:p>
    <w:p w14:paraId="5C7C4605" w14:textId="77777777" w:rsidR="00ED3431" w:rsidRDefault="00285F9E">
      <w:pPr>
        <w:numPr>
          <w:ilvl w:val="0"/>
          <w:numId w:val="1"/>
        </w:numPr>
        <w:rPr>
          <w:b/>
          <w:bCs/>
          <w:u w:val="single"/>
        </w:rPr>
      </w:pPr>
      <w:r>
        <w:t>tax_yr</w:t>
      </w:r>
    </w:p>
    <w:p w14:paraId="2697088E" w14:textId="77777777" w:rsidR="00ED3431" w:rsidRDefault="00285F9E">
      <w:pPr>
        <w:numPr>
          <w:ilvl w:val="1"/>
          <w:numId w:val="1"/>
        </w:numPr>
        <w:rPr>
          <w:b/>
          <w:bCs/>
          <w:u w:val="single"/>
        </w:rPr>
      </w:pPr>
      <w:r>
        <w:t>This is the year of the observation.</w:t>
      </w:r>
    </w:p>
    <w:p w14:paraId="0B300828" w14:textId="77777777" w:rsidR="00ED3431" w:rsidRDefault="00285F9E">
      <w:pPr>
        <w:numPr>
          <w:ilvl w:val="0"/>
          <w:numId w:val="1"/>
        </w:numPr>
        <w:rPr>
          <w:b/>
          <w:bCs/>
          <w:u w:val="single"/>
        </w:rPr>
      </w:pPr>
      <w:r>
        <w:t>stayersXXXX</w:t>
      </w:r>
    </w:p>
    <w:p w14:paraId="4CB58E78" w14:textId="77777777" w:rsidR="00ED3431" w:rsidRDefault="00285F9E">
      <w:pPr>
        <w:numPr>
          <w:ilvl w:val="1"/>
          <w:numId w:val="1"/>
        </w:numPr>
        <w:rPr>
          <w:b/>
          <w:bCs/>
          <w:u w:val="single"/>
        </w:rPr>
      </w:pPr>
      <w:r>
        <w:t xml:space="preserve">These are the number of stayers until/from the year XXXX relative to the tax </w:t>
      </w:r>
      <w:r>
        <w:t>year of the observation. That is, if the observation is for firm 10 in tax year 2005, the value in –stayers2009– would report the amount of employees who were employed in both 2005 and 2009 by firm 10.</w:t>
      </w:r>
    </w:p>
    <w:p w14:paraId="6C276450" w14:textId="77777777" w:rsidR="00ED3431" w:rsidRDefault="00285F9E">
      <w:pPr>
        <w:numPr>
          <w:ilvl w:val="0"/>
          <w:numId w:val="1"/>
        </w:numPr>
        <w:rPr>
          <w:b/>
          <w:bCs/>
          <w:u w:val="single"/>
        </w:rPr>
      </w:pPr>
      <w:r>
        <w:t>male_stayersXXXX</w:t>
      </w:r>
    </w:p>
    <w:p w14:paraId="3E403F48" w14:textId="77777777" w:rsidR="00ED3431" w:rsidRDefault="00285F9E">
      <w:pPr>
        <w:numPr>
          <w:ilvl w:val="1"/>
          <w:numId w:val="1"/>
        </w:numPr>
        <w:rPr>
          <w:b/>
          <w:bCs/>
          <w:u w:val="single"/>
        </w:rPr>
      </w:pPr>
      <w:r>
        <w:t>These are the number of stayers until</w:t>
      </w:r>
      <w:r>
        <w:t>/from the year XXXX relative to the tax year of the observation who are male. See –stayersXXXX– for a description of what the XXXX means in context of the observation.</w:t>
      </w:r>
    </w:p>
    <w:p w14:paraId="41C88E7D" w14:textId="77777777" w:rsidR="00ED3431" w:rsidRDefault="00285F9E">
      <w:pPr>
        <w:numPr>
          <w:ilvl w:val="0"/>
          <w:numId w:val="1"/>
        </w:numPr>
        <w:rPr>
          <w:b/>
          <w:bCs/>
          <w:u w:val="single"/>
        </w:rPr>
      </w:pPr>
      <w:r>
        <w:t>male_stayer_wagesXXXX</w:t>
      </w:r>
    </w:p>
    <w:p w14:paraId="460F2960" w14:textId="77777777" w:rsidR="00ED3431" w:rsidRDefault="00285F9E">
      <w:pPr>
        <w:numPr>
          <w:ilvl w:val="1"/>
          <w:numId w:val="1"/>
        </w:numPr>
        <w:rPr>
          <w:b/>
          <w:bCs/>
          <w:u w:val="single"/>
        </w:rPr>
      </w:pPr>
      <w:r>
        <w:t xml:space="preserve">This is the mean </w:t>
      </w:r>
      <w:bookmarkStart w:id="0" w:name="__DdeLink__77_614715266"/>
      <w:r>
        <w:t xml:space="preserve">XXXX </w:t>
      </w:r>
      <w:bookmarkEnd w:id="0"/>
      <w:r>
        <w:t xml:space="preserve">wages of male stayers in the given tax year </w:t>
      </w:r>
      <w:r>
        <w:t>from/until the year XXXX.</w:t>
      </w:r>
    </w:p>
    <w:p w14:paraId="4EB32B28" w14:textId="77777777" w:rsidR="00ED3431" w:rsidRDefault="00285F9E">
      <w:pPr>
        <w:numPr>
          <w:ilvl w:val="0"/>
          <w:numId w:val="1"/>
        </w:numPr>
        <w:rPr>
          <w:b/>
          <w:bCs/>
          <w:u w:val="single"/>
        </w:rPr>
      </w:pPr>
      <w:r>
        <w:t>female_stayersXXXX</w:t>
      </w:r>
    </w:p>
    <w:p w14:paraId="4A8B6ADB" w14:textId="77777777" w:rsidR="00ED3431" w:rsidRDefault="00285F9E">
      <w:pPr>
        <w:numPr>
          <w:ilvl w:val="1"/>
          <w:numId w:val="1"/>
        </w:numPr>
        <w:rPr>
          <w:b/>
          <w:bCs/>
          <w:u w:val="single"/>
        </w:rPr>
      </w:pPr>
      <w:r>
        <w:t>These are the number of stayers until/from the year XXXX relative to the tax year of the observation who are female. See –stayersXXXX– for a description of what the XXXX means in context of the observation.</w:t>
      </w:r>
    </w:p>
    <w:p w14:paraId="618F3EC7" w14:textId="77777777" w:rsidR="00ED3431" w:rsidRDefault="00285F9E">
      <w:pPr>
        <w:numPr>
          <w:ilvl w:val="0"/>
          <w:numId w:val="1"/>
        </w:numPr>
        <w:rPr>
          <w:b/>
          <w:bCs/>
          <w:u w:val="single"/>
        </w:rPr>
      </w:pPr>
      <w:r>
        <w:t>fema</w:t>
      </w:r>
      <w:r>
        <w:t>le_stayer_wagesXXXX</w:t>
      </w:r>
    </w:p>
    <w:p w14:paraId="4F6855B9" w14:textId="77777777" w:rsidR="00ED3431" w:rsidRDefault="00285F9E">
      <w:pPr>
        <w:numPr>
          <w:ilvl w:val="1"/>
          <w:numId w:val="1"/>
        </w:numPr>
        <w:rPr>
          <w:b/>
          <w:bCs/>
          <w:u w:val="single"/>
        </w:rPr>
      </w:pPr>
      <w:r>
        <w:t>This is the mean XXXX wages of female stayers in the given tax year from/until the year XXXX.</w:t>
      </w:r>
    </w:p>
    <w:p w14:paraId="70AD7697" w14:textId="77777777" w:rsidR="00ED3431" w:rsidRDefault="00285F9E">
      <w:pPr>
        <w:numPr>
          <w:ilvl w:val="0"/>
          <w:numId w:val="1"/>
        </w:numPr>
        <w:rPr>
          <w:b/>
          <w:bCs/>
          <w:u w:val="single"/>
        </w:rPr>
      </w:pPr>
      <w:r>
        <w:t>inventor_stayersXXXX</w:t>
      </w:r>
    </w:p>
    <w:p w14:paraId="49AB7DA2" w14:textId="77777777" w:rsidR="00ED3431" w:rsidRDefault="00285F9E">
      <w:pPr>
        <w:numPr>
          <w:ilvl w:val="1"/>
          <w:numId w:val="1"/>
        </w:numPr>
        <w:rPr>
          <w:b/>
          <w:bCs/>
          <w:u w:val="single"/>
        </w:rPr>
      </w:pPr>
      <w:r>
        <w:t>These are the number of stayers until/from the year XXXX relative to the tax year of the observation who are inventors. S</w:t>
      </w:r>
      <w:r>
        <w:t>ee –stayersXXXX– for a description of what the XXXX means in context of the observation.</w:t>
      </w:r>
    </w:p>
    <w:p w14:paraId="52FF9694" w14:textId="77777777" w:rsidR="00ED3431" w:rsidRDefault="00285F9E">
      <w:pPr>
        <w:numPr>
          <w:ilvl w:val="0"/>
          <w:numId w:val="1"/>
        </w:numPr>
        <w:rPr>
          <w:b/>
          <w:bCs/>
          <w:u w:val="single"/>
        </w:rPr>
      </w:pPr>
      <w:r>
        <w:t>inventor_stayer_wagesXXXX</w:t>
      </w:r>
    </w:p>
    <w:p w14:paraId="324086BB" w14:textId="77777777" w:rsidR="00ED3431" w:rsidRDefault="00285F9E">
      <w:pPr>
        <w:numPr>
          <w:ilvl w:val="1"/>
          <w:numId w:val="1"/>
        </w:numPr>
        <w:rPr>
          <w:b/>
          <w:bCs/>
          <w:u w:val="single"/>
        </w:rPr>
      </w:pPr>
      <w:r>
        <w:t>This is the mean XXXX wages of inventor stayers in the given tax year from/until the year XXXX.</w:t>
      </w:r>
    </w:p>
    <w:p w14:paraId="707D7B0A" w14:textId="77777777" w:rsidR="00ED3431" w:rsidRDefault="00285F9E">
      <w:pPr>
        <w:numPr>
          <w:ilvl w:val="0"/>
          <w:numId w:val="1"/>
        </w:numPr>
        <w:rPr>
          <w:b/>
          <w:bCs/>
          <w:u w:val="single"/>
        </w:rPr>
      </w:pPr>
      <w:r>
        <w:t>noninventor_stayersXXXX</w:t>
      </w:r>
    </w:p>
    <w:p w14:paraId="18E616F0" w14:textId="77777777" w:rsidR="00ED3431" w:rsidRDefault="00285F9E">
      <w:pPr>
        <w:numPr>
          <w:ilvl w:val="1"/>
          <w:numId w:val="1"/>
        </w:numPr>
        <w:rPr>
          <w:b/>
          <w:bCs/>
          <w:u w:val="single"/>
        </w:rPr>
      </w:pPr>
      <w:r>
        <w:t xml:space="preserve">These are the number </w:t>
      </w:r>
      <w:r>
        <w:t>of stayers until/from the year XXXX relative to the tax year of the observation who are non-inventors. See –stayersXXXX– for a description of what the XXXX means in context of the observation.</w:t>
      </w:r>
    </w:p>
    <w:p w14:paraId="4E0AA2AB" w14:textId="77777777" w:rsidR="00ED3431" w:rsidRDefault="00285F9E">
      <w:pPr>
        <w:numPr>
          <w:ilvl w:val="0"/>
          <w:numId w:val="1"/>
        </w:numPr>
        <w:rPr>
          <w:b/>
          <w:bCs/>
          <w:u w:val="single"/>
        </w:rPr>
      </w:pPr>
      <w:r>
        <w:t>noninventor_stayer_wagesXXXX</w:t>
      </w:r>
    </w:p>
    <w:p w14:paraId="090F5DC8" w14:textId="77777777" w:rsidR="00ED3431" w:rsidRDefault="00285F9E">
      <w:pPr>
        <w:numPr>
          <w:ilvl w:val="1"/>
          <w:numId w:val="1"/>
        </w:numPr>
        <w:rPr>
          <w:b/>
          <w:bCs/>
          <w:u w:val="single"/>
        </w:rPr>
      </w:pPr>
      <w:r>
        <w:t>This is the mean XXXX wages of non</w:t>
      </w:r>
      <w:r>
        <w:t>-inventor stayers in the given tax year from/until the year XXXX.</w:t>
      </w:r>
    </w:p>
    <w:p w14:paraId="2D8D6519" w14:textId="77777777" w:rsidR="00ED3431" w:rsidRDefault="00ED3431"/>
    <w:p w14:paraId="246C46B3" w14:textId="77777777" w:rsidR="00ED3431" w:rsidRDefault="00ED3431"/>
    <w:p w14:paraId="68E119F7" w14:textId="77777777" w:rsidR="00ED3431" w:rsidRDefault="00ED3431"/>
    <w:p w14:paraId="1EAE09E0" w14:textId="77777777" w:rsidR="00ED3431" w:rsidRDefault="00ED3431"/>
    <w:p w14:paraId="15BD947E" w14:textId="77777777" w:rsidR="00ED3431" w:rsidRDefault="00ED3431"/>
    <w:p w14:paraId="24F66F81" w14:textId="77777777" w:rsidR="00ED3431" w:rsidRDefault="00285F9E">
      <w:pPr>
        <w:rPr>
          <w:b/>
          <w:bCs/>
          <w:u w:val="single"/>
        </w:rPr>
      </w:pPr>
      <w:r>
        <w:rPr>
          <w:b/>
          <w:bCs/>
        </w:rPr>
        <w:t>wage_growth.csv:</w:t>
      </w:r>
      <w:r>
        <w:t xml:space="preserve"> This dataset contains several new pulls from the databank. Included are the mean dollar change in wages from year t-1 to t for employees continuously employed from year t-2 until t-1. These wage changes are further cut by male, female, inventor, and non-i</w:t>
      </w:r>
      <w:r>
        <w:t>nventor status.</w:t>
      </w:r>
    </w:p>
    <w:p w14:paraId="1D207784" w14:textId="77777777" w:rsidR="00ED3431" w:rsidRDefault="00ED3431"/>
    <w:p w14:paraId="0195B9A8" w14:textId="77777777" w:rsidR="00ED3431" w:rsidRDefault="00285F9E">
      <w:pPr>
        <w:numPr>
          <w:ilvl w:val="0"/>
          <w:numId w:val="1"/>
        </w:numPr>
        <w:rPr>
          <w:b/>
          <w:bCs/>
          <w:u w:val="single"/>
        </w:rPr>
      </w:pPr>
      <w:r>
        <w:t>payer_tin_w2_max</w:t>
      </w:r>
    </w:p>
    <w:p w14:paraId="68000612" w14:textId="77777777" w:rsidR="00ED3431" w:rsidRDefault="00285F9E">
      <w:pPr>
        <w:numPr>
          <w:ilvl w:val="1"/>
          <w:numId w:val="1"/>
        </w:numPr>
        <w:rPr>
          <w:b/>
          <w:bCs/>
          <w:u w:val="single"/>
        </w:rPr>
      </w:pPr>
      <w:r>
        <w:t>This is the TIN of the firm associated with the observation.</w:t>
      </w:r>
    </w:p>
    <w:p w14:paraId="63F5C88A" w14:textId="77777777" w:rsidR="00ED3431" w:rsidRDefault="00285F9E">
      <w:pPr>
        <w:numPr>
          <w:ilvl w:val="0"/>
          <w:numId w:val="1"/>
        </w:numPr>
        <w:rPr>
          <w:b/>
          <w:bCs/>
          <w:u w:val="single"/>
        </w:rPr>
      </w:pPr>
      <w:r>
        <w:t>tax_yr</w:t>
      </w:r>
    </w:p>
    <w:p w14:paraId="671B3FEE" w14:textId="77777777" w:rsidR="00ED3431" w:rsidRDefault="00285F9E">
      <w:pPr>
        <w:numPr>
          <w:ilvl w:val="1"/>
          <w:numId w:val="1"/>
        </w:numPr>
        <w:rPr>
          <w:b/>
          <w:bCs/>
          <w:u w:val="single"/>
        </w:rPr>
      </w:pPr>
      <w:r>
        <w:t>This is the year of the observation.</w:t>
      </w:r>
    </w:p>
    <w:p w14:paraId="1B707996" w14:textId="77777777" w:rsidR="00ED3431" w:rsidRDefault="00285F9E">
      <w:pPr>
        <w:numPr>
          <w:ilvl w:val="0"/>
          <w:numId w:val="1"/>
        </w:numPr>
        <w:rPr>
          <w:b/>
          <w:bCs/>
          <w:u w:val="single"/>
        </w:rPr>
      </w:pPr>
      <w:r>
        <w:t>cont_wrkrs</w:t>
      </w:r>
    </w:p>
    <w:p w14:paraId="44F52717" w14:textId="77777777" w:rsidR="00ED3431" w:rsidRDefault="00285F9E">
      <w:pPr>
        <w:numPr>
          <w:ilvl w:val="1"/>
          <w:numId w:val="1"/>
        </w:numPr>
        <w:rPr>
          <w:b/>
          <w:bCs/>
          <w:u w:val="single"/>
        </w:rPr>
      </w:pPr>
      <w:r>
        <w:t>These are the number of workers continuously employed at the associated firm from 2 years before the obser</w:t>
      </w:r>
      <w:r>
        <w:t>vation’s tax year to the tax year after the observation. For example, the value for firm 10 in tax year 2005 would count the number of people continuously employed at firm 10 from 2003 to 2006.</w:t>
      </w:r>
    </w:p>
    <w:p w14:paraId="0BE96EA8" w14:textId="77777777" w:rsidR="00ED3431" w:rsidRDefault="00285F9E">
      <w:pPr>
        <w:numPr>
          <w:ilvl w:val="0"/>
          <w:numId w:val="1"/>
        </w:numPr>
        <w:rPr>
          <w:b/>
          <w:bCs/>
          <w:u w:val="single"/>
        </w:rPr>
      </w:pPr>
      <w:r>
        <w:t>wage_growth</w:t>
      </w:r>
    </w:p>
    <w:p w14:paraId="1546D995" w14:textId="77777777" w:rsidR="00ED3431" w:rsidRDefault="00285F9E">
      <w:pPr>
        <w:numPr>
          <w:ilvl w:val="1"/>
          <w:numId w:val="1"/>
        </w:numPr>
        <w:rPr>
          <w:b/>
          <w:bCs/>
          <w:u w:val="single"/>
        </w:rPr>
      </w:pPr>
      <w:r>
        <w:t>This is the mean wage change</w:t>
      </w:r>
      <w:bookmarkStart w:id="1" w:name="__DdeLink__16_220668859"/>
      <w:r>
        <w:t xml:space="preserve"> (in dollars)</w:t>
      </w:r>
      <w:bookmarkEnd w:id="1"/>
      <w:r>
        <w:t xml:space="preserve"> from the</w:t>
      </w:r>
      <w:r>
        <w:t xml:space="preserve"> year before to the current year for workers continuously employed at the associated firm.</w:t>
      </w:r>
      <w:r>
        <w:t xml:space="preserve"> For example, the value for firm 10 in tax year 2005 would report the mean difference in wages for workers between their wages in 2004 and 2005, among the sub sample </w:t>
      </w:r>
      <w:r>
        <w:t>of workers continuously employed by the firm from 2003 to 2006.</w:t>
      </w:r>
    </w:p>
    <w:p w14:paraId="5A15E598" w14:textId="77777777" w:rsidR="00ED3431" w:rsidRDefault="00285F9E">
      <w:pPr>
        <w:numPr>
          <w:ilvl w:val="0"/>
          <w:numId w:val="1"/>
        </w:numPr>
        <w:rPr>
          <w:b/>
          <w:bCs/>
          <w:u w:val="single"/>
        </w:rPr>
      </w:pPr>
      <w:r>
        <w:t>cont_males</w:t>
      </w:r>
    </w:p>
    <w:p w14:paraId="1515E877" w14:textId="77777777" w:rsidR="00ED3431" w:rsidRDefault="00285F9E">
      <w:pPr>
        <w:numPr>
          <w:ilvl w:val="1"/>
          <w:numId w:val="1"/>
        </w:numPr>
        <w:rPr>
          <w:b/>
          <w:bCs/>
          <w:u w:val="single"/>
        </w:rPr>
      </w:pPr>
      <w:r>
        <w:t>These are the number of males continuously employed at the associated firm from 2 years before the observation’s tax year to the tax year after the observation. See –cont_wrks-- for</w:t>
      </w:r>
      <w:r>
        <w:t xml:space="preserve"> a more detailed description of continuous employment.</w:t>
      </w:r>
    </w:p>
    <w:p w14:paraId="0483D475" w14:textId="77777777" w:rsidR="00ED3431" w:rsidRDefault="00285F9E">
      <w:pPr>
        <w:numPr>
          <w:ilvl w:val="0"/>
          <w:numId w:val="1"/>
        </w:numPr>
        <w:rPr>
          <w:b/>
          <w:bCs/>
          <w:u w:val="single"/>
        </w:rPr>
      </w:pPr>
      <w:r>
        <w:t>male_wage_growth</w:t>
      </w:r>
    </w:p>
    <w:p w14:paraId="507A3AF5" w14:textId="77777777" w:rsidR="00ED3431" w:rsidRDefault="00285F9E">
      <w:pPr>
        <w:numPr>
          <w:ilvl w:val="1"/>
          <w:numId w:val="1"/>
        </w:numPr>
        <w:rPr>
          <w:b/>
          <w:bCs/>
          <w:u w:val="single"/>
        </w:rPr>
      </w:pPr>
      <w:r>
        <w:t>This is the mean wage change (in dollars) from the year before to the current year for males continuously employed at the associated firm. See –wage_growth-- for a more detailed descri</w:t>
      </w:r>
      <w:r>
        <w:t>ption of wage change.</w:t>
      </w:r>
    </w:p>
    <w:p w14:paraId="7C34BA84" w14:textId="77777777" w:rsidR="00ED3431" w:rsidRDefault="00285F9E">
      <w:pPr>
        <w:numPr>
          <w:ilvl w:val="0"/>
          <w:numId w:val="1"/>
        </w:numPr>
        <w:rPr>
          <w:b/>
          <w:bCs/>
          <w:u w:val="single"/>
        </w:rPr>
      </w:pPr>
      <w:r>
        <w:t>cont_females</w:t>
      </w:r>
    </w:p>
    <w:p w14:paraId="0DE46147" w14:textId="77777777" w:rsidR="00ED3431" w:rsidRDefault="00285F9E">
      <w:pPr>
        <w:numPr>
          <w:ilvl w:val="1"/>
          <w:numId w:val="1"/>
        </w:numPr>
        <w:rPr>
          <w:b/>
          <w:bCs/>
          <w:u w:val="single"/>
        </w:rPr>
      </w:pPr>
      <w:r>
        <w:t>These are the number of females continuously employed at the associated firm from 2 years before the observation’s tax year to the tax year after the observation. See –cont_wrks– for a more detailed description of continu</w:t>
      </w:r>
      <w:r>
        <w:t>ous employment.</w:t>
      </w:r>
    </w:p>
    <w:p w14:paraId="0D749612" w14:textId="77777777" w:rsidR="00ED3431" w:rsidRDefault="00285F9E">
      <w:pPr>
        <w:numPr>
          <w:ilvl w:val="0"/>
          <w:numId w:val="1"/>
        </w:numPr>
        <w:rPr>
          <w:b/>
          <w:bCs/>
          <w:u w:val="single"/>
        </w:rPr>
      </w:pPr>
      <w:r>
        <w:t>female_wage_growth</w:t>
      </w:r>
    </w:p>
    <w:p w14:paraId="4CADE9A2" w14:textId="77777777" w:rsidR="00ED3431" w:rsidRDefault="00285F9E">
      <w:pPr>
        <w:numPr>
          <w:ilvl w:val="1"/>
          <w:numId w:val="1"/>
        </w:numPr>
        <w:rPr>
          <w:b/>
          <w:bCs/>
          <w:u w:val="single"/>
        </w:rPr>
      </w:pPr>
      <w:r>
        <w:t>This is the mean wage change (in dollars) from the year before to the current year for females continuously employed at the associated firm. See –wage_growth– for a more detailed description of wage change.</w:t>
      </w:r>
    </w:p>
    <w:p w14:paraId="46E8D56D" w14:textId="77777777" w:rsidR="00ED3431" w:rsidRDefault="00285F9E">
      <w:pPr>
        <w:numPr>
          <w:ilvl w:val="0"/>
          <w:numId w:val="1"/>
        </w:numPr>
        <w:rPr>
          <w:b/>
          <w:bCs/>
          <w:u w:val="single"/>
        </w:rPr>
      </w:pPr>
      <w:r>
        <w:t>cont_inventors</w:t>
      </w:r>
    </w:p>
    <w:p w14:paraId="6D508DD0" w14:textId="22EF642C" w:rsidR="00ED3431" w:rsidRDefault="00285F9E">
      <w:pPr>
        <w:numPr>
          <w:ilvl w:val="1"/>
          <w:numId w:val="1"/>
        </w:numPr>
        <w:rPr>
          <w:b/>
          <w:bCs/>
          <w:u w:val="single"/>
        </w:rPr>
      </w:pPr>
      <w:r>
        <w:t>These are the number of i</w:t>
      </w:r>
      <w:bookmarkStart w:id="2" w:name="_GoBack"/>
      <w:bookmarkEnd w:id="2"/>
      <w:r>
        <w:t>nventors continuously employed at the associated firm from 2 years before the observation’s tax year to the tax year after the observation. See –cont_wrks– for a more detailed description of continuous employment.</w:t>
      </w:r>
    </w:p>
    <w:p w14:paraId="465D4EE3" w14:textId="77777777" w:rsidR="00ED3431" w:rsidRDefault="00285F9E">
      <w:pPr>
        <w:numPr>
          <w:ilvl w:val="0"/>
          <w:numId w:val="1"/>
        </w:numPr>
        <w:rPr>
          <w:b/>
          <w:bCs/>
          <w:u w:val="single"/>
        </w:rPr>
      </w:pPr>
      <w:r>
        <w:t>inventor_wage_gro</w:t>
      </w:r>
      <w:r>
        <w:t>wth</w:t>
      </w:r>
    </w:p>
    <w:p w14:paraId="04A82AB8" w14:textId="77777777" w:rsidR="00ED3431" w:rsidRDefault="00285F9E">
      <w:pPr>
        <w:numPr>
          <w:ilvl w:val="1"/>
          <w:numId w:val="1"/>
        </w:numPr>
        <w:rPr>
          <w:b/>
          <w:bCs/>
          <w:u w:val="single"/>
        </w:rPr>
      </w:pPr>
      <w:r>
        <w:lastRenderedPageBreak/>
        <w:t>This is the mean wage change (in dollars) from the year before to the current year for inventors continuously employed at the associated firm. See –wage_growth– for a more detailed description of wage change.</w:t>
      </w:r>
    </w:p>
    <w:p w14:paraId="427B7690" w14:textId="77777777" w:rsidR="00ED3431" w:rsidRDefault="00285F9E">
      <w:pPr>
        <w:numPr>
          <w:ilvl w:val="0"/>
          <w:numId w:val="1"/>
        </w:numPr>
        <w:rPr>
          <w:b/>
          <w:bCs/>
          <w:u w:val="single"/>
        </w:rPr>
      </w:pPr>
      <w:r>
        <w:t>cont_noninventors</w:t>
      </w:r>
    </w:p>
    <w:p w14:paraId="1580421D" w14:textId="77777777" w:rsidR="00ED3431" w:rsidRDefault="00285F9E">
      <w:pPr>
        <w:numPr>
          <w:ilvl w:val="1"/>
          <w:numId w:val="1"/>
        </w:numPr>
        <w:rPr>
          <w:b/>
          <w:bCs/>
          <w:u w:val="single"/>
        </w:rPr>
      </w:pPr>
      <w:r>
        <w:t xml:space="preserve">These are the number of </w:t>
      </w:r>
      <w:r>
        <w:t>non-inventors continuously employed at the associated firm from 2 years before the observation’s tax year to the tax year after the observation. See –cont_wrks– for a more detailed description of continuous employment.</w:t>
      </w:r>
    </w:p>
    <w:p w14:paraId="7475172B" w14:textId="77777777" w:rsidR="00ED3431" w:rsidRDefault="00285F9E">
      <w:pPr>
        <w:numPr>
          <w:ilvl w:val="0"/>
          <w:numId w:val="1"/>
        </w:numPr>
        <w:rPr>
          <w:b/>
          <w:bCs/>
          <w:u w:val="single"/>
        </w:rPr>
      </w:pPr>
      <w:r>
        <w:t>noninventor_wage_growth</w:t>
      </w:r>
    </w:p>
    <w:p w14:paraId="4B06B525" w14:textId="77777777" w:rsidR="00ED3431" w:rsidRDefault="00285F9E">
      <w:pPr>
        <w:numPr>
          <w:ilvl w:val="1"/>
          <w:numId w:val="1"/>
        </w:numPr>
        <w:rPr>
          <w:b/>
          <w:bCs/>
          <w:u w:val="single"/>
        </w:rPr>
      </w:pPr>
      <w:r>
        <w:t>This is the m</w:t>
      </w:r>
      <w:r>
        <w:t>ean wage change (in dollars) from the year before to the current year for non-inventors continuously employed at the associated firm. See –wage_growth– for a more detailed description of wage change.</w:t>
      </w:r>
    </w:p>
    <w:p w14:paraId="5B603544" w14:textId="77777777" w:rsidR="00ED3431" w:rsidRDefault="00ED3431"/>
    <w:p w14:paraId="14E84FF7" w14:textId="77777777" w:rsidR="00ED3431" w:rsidRDefault="00ED3431"/>
    <w:sectPr w:rsidR="00ED3431">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altName w:val="Arial Unicode MS"/>
    <w:panose1 w:val="020B0604020202020204"/>
    <w:charset w:val="01"/>
    <w:family w:val="auto"/>
    <w:pitch w:val="variable"/>
  </w:font>
  <w:font w:name="Liberation Serif">
    <w:altName w:val="Times New Roman"/>
    <w:panose1 w:val="020B0604020202020204"/>
    <w:charset w:val="01"/>
    <w:family w:val="roman"/>
    <w:pitch w:val="variable"/>
  </w:font>
  <w:font w:name="Noto Sans CJK SC Regular">
    <w:panose1 w:val="020B0604020202020204"/>
    <w:charset w:val="00"/>
    <w:family w:val="roman"/>
    <w:notTrueType/>
    <w:pitch w:val="default"/>
  </w:font>
  <w:font w:name="FreeSans">
    <w:altName w:val="Cambria"/>
    <w:panose1 w:val="020B0604020202020204"/>
    <w:charset w:val="00"/>
    <w:family w:val="roman"/>
    <w:notTrueType/>
    <w:pitch w:val="default"/>
  </w:font>
  <w:font w:name="Liberation Sans">
    <w:altName w:val="Arial"/>
    <w:panose1 w:val="020B0604020202020204"/>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C0734"/>
    <w:multiLevelType w:val="multilevel"/>
    <w:tmpl w:val="F572D6E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D171834"/>
    <w:multiLevelType w:val="multilevel"/>
    <w:tmpl w:val="8EC0E4F8"/>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ED3431"/>
    <w:rsid w:val="00285F9E"/>
    <w:rsid w:val="00ED34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DECE38F"/>
  <w15:docId w15:val="{9DED10FB-79BB-C449-B083-D3491333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cs="OpenSymbol"/>
      <w:b/>
    </w:rPr>
  </w:style>
  <w:style w:type="character" w:customStyle="1" w:styleId="ListLabel2">
    <w:name w:val="ListLabel 2"/>
    <w:qFormat/>
    <w:rPr>
      <w:rFonts w:cs="OpenSymbol"/>
      <w:b/>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779</Words>
  <Characters>4445</Characters>
  <Application>Microsoft Office Word</Application>
  <DocSecurity>0</DocSecurity>
  <Lines>37</Lines>
  <Paragraphs>10</Paragraphs>
  <ScaleCrop>false</ScaleCrop>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Microsoft Office User</cp:lastModifiedBy>
  <cp:revision>4</cp:revision>
  <dcterms:created xsi:type="dcterms:W3CDTF">2018-02-11T11:31:00Z</dcterms:created>
  <dcterms:modified xsi:type="dcterms:W3CDTF">2019-02-13T16:32:00Z</dcterms:modified>
  <dc:language>en-US</dc:language>
</cp:coreProperties>
</file>